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44B" w14:textId="77777777" w:rsidR="00091298" w:rsidRPr="00A32C40" w:rsidRDefault="00091298">
      <w:pPr>
        <w:jc w:val="both"/>
        <w:rPr>
          <w:rFonts w:ascii="Cambria" w:hAnsi="Cambria"/>
          <w:b/>
          <w:lang w:val="hr-HR"/>
        </w:rPr>
      </w:pPr>
    </w:p>
    <w:p w14:paraId="4625317B" w14:textId="77777777" w:rsidR="005B5D01" w:rsidRPr="00244407" w:rsidRDefault="005B5D01" w:rsidP="005B5D01">
      <w:pPr>
        <w:jc w:val="center"/>
        <w:rPr>
          <w:b/>
        </w:rPr>
      </w:pPr>
      <w:r w:rsidRPr="00244407">
        <w:rPr>
          <w:b/>
        </w:rPr>
        <w:t>O B R A Z L O Ž E NJ E</w:t>
      </w:r>
    </w:p>
    <w:p w14:paraId="1BE815AD" w14:textId="72CF5231" w:rsidR="005B5D01" w:rsidRPr="00244407" w:rsidRDefault="005B5E27" w:rsidP="005B5D01">
      <w:pPr>
        <w:jc w:val="center"/>
        <w:rPr>
          <w:b/>
        </w:rPr>
      </w:pPr>
      <w:r>
        <w:rPr>
          <w:b/>
        </w:rPr>
        <w:t xml:space="preserve"> </w:t>
      </w:r>
      <w:r w:rsidR="005B5D01" w:rsidRPr="00244407">
        <w:rPr>
          <w:b/>
        </w:rPr>
        <w:t xml:space="preserve">PRORAČUNA OPĆINE </w:t>
      </w:r>
      <w:proofErr w:type="spellStart"/>
      <w:r w:rsidR="00733FC8">
        <w:rPr>
          <w:b/>
        </w:rPr>
        <w:t>BAŠKA</w:t>
      </w:r>
      <w:proofErr w:type="spellEnd"/>
      <w:r w:rsidR="00733FC8">
        <w:rPr>
          <w:b/>
        </w:rPr>
        <w:t xml:space="preserve"> </w:t>
      </w:r>
      <w:proofErr w:type="spellStart"/>
      <w:r w:rsidR="00733FC8">
        <w:rPr>
          <w:b/>
        </w:rPr>
        <w:t>VODA</w:t>
      </w:r>
      <w:proofErr w:type="spellEnd"/>
      <w:r w:rsidR="005B5D01" w:rsidRPr="00244407">
        <w:rPr>
          <w:b/>
        </w:rPr>
        <w:t xml:space="preserve"> ZA 202</w:t>
      </w:r>
      <w:r w:rsidR="005B5D01">
        <w:rPr>
          <w:b/>
        </w:rPr>
        <w:t>3</w:t>
      </w:r>
      <w:r w:rsidR="005B5D01" w:rsidRPr="00244407">
        <w:rPr>
          <w:b/>
        </w:rPr>
        <w:t>. GODINU</w:t>
      </w:r>
    </w:p>
    <w:p w14:paraId="239CD461" w14:textId="29913138" w:rsidR="00091298" w:rsidRDefault="005B5D01" w:rsidP="005B5D01">
      <w:pPr>
        <w:spacing w:after="200" w:line="276" w:lineRule="auto"/>
        <w:jc w:val="center"/>
        <w:rPr>
          <w:b/>
        </w:rPr>
      </w:pPr>
      <w:r w:rsidRPr="00244407">
        <w:rPr>
          <w:b/>
        </w:rPr>
        <w:t>I PROJEKCIJA ZA 202</w:t>
      </w:r>
      <w:r>
        <w:rPr>
          <w:b/>
        </w:rPr>
        <w:t>4</w:t>
      </w:r>
      <w:r w:rsidRPr="00244407">
        <w:rPr>
          <w:b/>
        </w:rPr>
        <w:t>. I 202</w:t>
      </w:r>
      <w:r>
        <w:rPr>
          <w:b/>
        </w:rPr>
        <w:t>5</w:t>
      </w:r>
      <w:r w:rsidRPr="00244407">
        <w:rPr>
          <w:b/>
        </w:rPr>
        <w:t>. GODINU</w:t>
      </w:r>
    </w:p>
    <w:p w14:paraId="4B2DAA04" w14:textId="77777777" w:rsidR="009667E9" w:rsidRDefault="009667E9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1523BAE7" w14:textId="77777777" w:rsidR="0058576E" w:rsidRPr="0058576E" w:rsidRDefault="0058576E" w:rsidP="0058576E">
      <w:pPr>
        <w:spacing w:after="200" w:line="276" w:lineRule="auto"/>
        <w:rPr>
          <w:rFonts w:ascii="Cambria" w:hAnsi="Cambria"/>
          <w:b/>
          <w:lang w:val="hr-HR"/>
        </w:rPr>
      </w:pPr>
      <w:r w:rsidRPr="0058576E">
        <w:rPr>
          <w:rFonts w:ascii="Cambria" w:hAnsi="Cambria"/>
          <w:b/>
          <w:lang w:val="hr-HR"/>
        </w:rPr>
        <w:t>Što je proračun?</w:t>
      </w:r>
    </w:p>
    <w:p w14:paraId="16C5F2D5" w14:textId="77777777" w:rsidR="0058576E" w:rsidRPr="0058576E" w:rsidRDefault="0058576E" w:rsidP="0058576E">
      <w:pPr>
        <w:jc w:val="both"/>
        <w:rPr>
          <w:rFonts w:ascii="Cambria" w:hAnsi="Cambria"/>
          <w:lang w:val="hr-HR"/>
        </w:rPr>
      </w:pPr>
      <w:r w:rsidRPr="0058576E">
        <w:rPr>
          <w:rFonts w:ascii="Cambria" w:hAnsi="Cambria"/>
          <w:lang w:val="hr-HR"/>
        </w:rPr>
        <w:t>Proračun je akt kojim se procjenjuju prihodi i primici te utvrđuju rashodi i izdaci Općine Baška Voda za proračunsku godinu, a sadrži i projekciju prihoda i primitaka te rashoda i izdataka za slijedeće dvije godine.</w:t>
      </w:r>
    </w:p>
    <w:p w14:paraId="430190B9" w14:textId="77777777" w:rsidR="0058576E" w:rsidRPr="0058576E" w:rsidRDefault="0058576E" w:rsidP="0058576E">
      <w:pPr>
        <w:jc w:val="both"/>
        <w:rPr>
          <w:rFonts w:ascii="Cambria" w:hAnsi="Cambria"/>
          <w:lang w:val="hr-HR"/>
        </w:rPr>
      </w:pPr>
    </w:p>
    <w:p w14:paraId="2E19DDA7" w14:textId="77777777" w:rsidR="0058576E" w:rsidRPr="0058576E" w:rsidRDefault="0058576E" w:rsidP="0058576E">
      <w:pPr>
        <w:jc w:val="both"/>
        <w:rPr>
          <w:rFonts w:ascii="Cambria" w:hAnsi="Cambria"/>
          <w:lang w:val="hr-HR"/>
        </w:rPr>
      </w:pPr>
      <w:r w:rsidRPr="0058576E">
        <w:rPr>
          <w:rFonts w:ascii="Cambria" w:hAnsi="Cambria"/>
          <w:lang w:val="hr-HR"/>
        </w:rPr>
        <w:t>U ovom Vodiču za građane bit će prikazan sažetak prijedloga proračuna Općine Baška Voda za 2023. godinu s najvažnijim smjernicama razvoja Općine Baška Voda koji pojašnjava planove i aktivnosti. Ovim pregledom Općinskog Baška Voda proračuna želimo omogućiti svim građanima uvid u prihode i rashode Općine Baška Voda kako bi imali transparentnu i potpunu informaciju o tome gdje i kako se troši općinski novac, kao i da bismo potaknuli sve građane na aktivno sudjelovanje u komentiranju, predlaganju i sugeriranju Općinskog proračuna.</w:t>
      </w:r>
    </w:p>
    <w:p w14:paraId="31591E58" w14:textId="77777777" w:rsidR="0058576E" w:rsidRPr="0058576E" w:rsidRDefault="0058576E" w:rsidP="0058576E">
      <w:pPr>
        <w:jc w:val="both"/>
        <w:rPr>
          <w:rFonts w:ascii="Cambria" w:hAnsi="Cambria"/>
          <w:lang w:val="hr-HR"/>
        </w:rPr>
      </w:pPr>
    </w:p>
    <w:p w14:paraId="42EDE52B" w14:textId="77777777" w:rsidR="0058576E" w:rsidRPr="0058576E" w:rsidRDefault="0058576E" w:rsidP="0058576E">
      <w:pPr>
        <w:jc w:val="both"/>
        <w:rPr>
          <w:rFonts w:ascii="Cambria" w:hAnsi="Cambria"/>
          <w:lang w:val="hr-HR"/>
        </w:rPr>
      </w:pPr>
    </w:p>
    <w:p w14:paraId="3B7D7C3C" w14:textId="77777777" w:rsidR="0058576E" w:rsidRPr="0058576E" w:rsidRDefault="0058576E" w:rsidP="0058576E">
      <w:pPr>
        <w:jc w:val="both"/>
        <w:rPr>
          <w:rFonts w:ascii="Cambria" w:hAnsi="Cambria"/>
          <w:lang w:val="hr-HR"/>
        </w:rPr>
      </w:pPr>
      <w:r w:rsidRPr="0058576E">
        <w:rPr>
          <w:rFonts w:ascii="Cambria" w:hAnsi="Cambria" w:cs="Calibri"/>
          <w:b/>
          <w:lang w:val="hr-HR"/>
        </w:rPr>
        <w:t>Sadržaj proračuna</w:t>
      </w:r>
    </w:p>
    <w:p w14:paraId="5813ECED" w14:textId="77777777" w:rsidR="0058576E" w:rsidRPr="0058576E" w:rsidRDefault="0058576E" w:rsidP="0058576E">
      <w:pPr>
        <w:ind w:left="-284"/>
        <w:jc w:val="both"/>
        <w:rPr>
          <w:rFonts w:ascii="Cambria" w:hAnsi="Cambria" w:cs="Calibri"/>
          <w:bCs/>
          <w:lang w:val="hr-HR"/>
        </w:rPr>
      </w:pPr>
    </w:p>
    <w:p w14:paraId="0F7525DB" w14:textId="77777777" w:rsidR="0058576E" w:rsidRPr="0058576E" w:rsidRDefault="0058576E" w:rsidP="0058576E">
      <w:pPr>
        <w:jc w:val="both"/>
        <w:rPr>
          <w:rFonts w:ascii="Cambria" w:hAnsi="Cambria" w:cs="Calibri"/>
          <w:b/>
          <w:color w:val="4472C4"/>
          <w:lang w:val="hr-HR"/>
        </w:rPr>
      </w:pPr>
      <w:r w:rsidRPr="0058576E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58576E">
        <w:rPr>
          <w:rFonts w:ascii="Cambria" w:hAnsi="Cambria" w:cs="Calibri"/>
          <w:bCs/>
          <w:lang w:val="hr-HR"/>
        </w:rPr>
        <w:t>JLS</w:t>
      </w:r>
      <w:proofErr w:type="spellEnd"/>
      <w:r w:rsidRPr="0058576E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58576E">
        <w:rPr>
          <w:rFonts w:ascii="Cambria" w:hAnsi="Cambria" w:cs="Calibri"/>
          <w:bCs/>
          <w:lang w:val="hr-HR"/>
        </w:rPr>
        <w:t>JLS</w:t>
      </w:r>
      <w:proofErr w:type="spellEnd"/>
      <w:r w:rsidRPr="0058576E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1C39E94D" w14:textId="77777777" w:rsidR="0058576E" w:rsidRPr="0058576E" w:rsidRDefault="0058576E" w:rsidP="0058576E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58576E" w:rsidRPr="0058576E" w14:paraId="3477A630" w14:textId="77777777" w:rsidTr="003B18C6">
        <w:tc>
          <w:tcPr>
            <w:tcW w:w="2093" w:type="dxa"/>
            <w:shd w:val="clear" w:color="auto" w:fill="D9E2F3"/>
          </w:tcPr>
          <w:p w14:paraId="74B7DEED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58576E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4CF00D87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58576E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3043CF62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58576E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58576E" w:rsidRPr="0058576E" w14:paraId="25C2C668" w14:textId="77777777" w:rsidTr="003B18C6">
        <w:tc>
          <w:tcPr>
            <w:tcW w:w="2093" w:type="dxa"/>
            <w:vMerge w:val="restart"/>
            <w:shd w:val="clear" w:color="auto" w:fill="F2F2F2"/>
            <w:vAlign w:val="center"/>
          </w:tcPr>
          <w:p w14:paraId="6D2F5321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51512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31562596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50ECC15C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58576E" w:rsidRPr="0058576E" w14:paraId="3924955C" w14:textId="77777777" w:rsidTr="003B18C6">
        <w:tc>
          <w:tcPr>
            <w:tcW w:w="2093" w:type="dxa"/>
            <w:vMerge/>
            <w:shd w:val="clear" w:color="auto" w:fill="F2F2F2"/>
          </w:tcPr>
          <w:p w14:paraId="3C425168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39E383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62DA0589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611336A7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58576E" w:rsidRPr="0058576E" w14:paraId="1CE67C74" w14:textId="77777777" w:rsidTr="003B18C6">
        <w:tc>
          <w:tcPr>
            <w:tcW w:w="2093" w:type="dxa"/>
            <w:vMerge/>
            <w:shd w:val="clear" w:color="auto" w:fill="F2F2F2"/>
          </w:tcPr>
          <w:p w14:paraId="4B82CB74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C40398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41CAD1FC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58576E" w:rsidRPr="0058576E" w14:paraId="6F3CA3E3" w14:textId="77777777" w:rsidTr="003B18C6">
        <w:tc>
          <w:tcPr>
            <w:tcW w:w="2093" w:type="dxa"/>
            <w:vMerge/>
            <w:shd w:val="clear" w:color="auto" w:fill="F2F2F2"/>
          </w:tcPr>
          <w:p w14:paraId="514121B1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B65BF1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50F201D2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58576E" w:rsidRPr="0058576E" w14:paraId="66A91E96" w14:textId="77777777" w:rsidTr="003B18C6">
        <w:tc>
          <w:tcPr>
            <w:tcW w:w="2093" w:type="dxa"/>
            <w:vMerge/>
            <w:shd w:val="clear" w:color="auto" w:fill="F2F2F2"/>
          </w:tcPr>
          <w:p w14:paraId="04682A10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225F30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60AA70D4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05B75E4B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višak, zbog njegove veličine, u cijelosti iskoristiti u jednoj proračunskoj godini, korištenje viška planira se </w:t>
            </w: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višegodišnjim planom uravnoteženja za razdoblje za koje se proračun donosi</w:t>
            </w:r>
          </w:p>
        </w:tc>
      </w:tr>
      <w:tr w:rsidR="0058576E" w:rsidRPr="0058576E" w14:paraId="3C1CABFB" w14:textId="77777777" w:rsidTr="003B18C6">
        <w:tc>
          <w:tcPr>
            <w:tcW w:w="2093" w:type="dxa"/>
            <w:shd w:val="clear" w:color="auto" w:fill="F2F2F2"/>
            <w:vAlign w:val="center"/>
          </w:tcPr>
          <w:p w14:paraId="01075B4E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667A7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32031A82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rashodi i izdaci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58576E" w:rsidRPr="0058576E" w14:paraId="49FD6951" w14:textId="77777777" w:rsidTr="003B18C6">
        <w:tc>
          <w:tcPr>
            <w:tcW w:w="2093" w:type="dxa"/>
            <w:shd w:val="clear" w:color="auto" w:fill="F2F2F2"/>
            <w:vAlign w:val="center"/>
          </w:tcPr>
          <w:p w14:paraId="32FE879A" w14:textId="77777777" w:rsidR="0058576E" w:rsidRPr="0058576E" w:rsidRDefault="0058576E" w:rsidP="0058576E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A4DEC8" w14:textId="77777777" w:rsidR="0058576E" w:rsidRPr="0058576E" w:rsidRDefault="0058576E" w:rsidP="0058576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75039591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258DBFA2" w14:textId="77777777" w:rsidR="0058576E" w:rsidRPr="0058576E" w:rsidRDefault="0058576E" w:rsidP="0058576E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58576E">
              <w:rPr>
                <w:rFonts w:ascii="Cambria" w:hAnsi="Cambria"/>
                <w:sz w:val="20"/>
                <w:szCs w:val="20"/>
                <w:lang w:val="hr-HR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19BE1C7F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2D580656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58576E">
        <w:rPr>
          <w:rFonts w:ascii="Cambria" w:hAnsi="Cambria"/>
          <w:b/>
          <w:bCs/>
          <w:lang w:val="hr-HR"/>
        </w:rPr>
        <w:t>Proračunski korisnici:</w:t>
      </w:r>
    </w:p>
    <w:p w14:paraId="24F7CEAF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lang w:val="hr-HR"/>
        </w:rPr>
      </w:pPr>
    </w:p>
    <w:p w14:paraId="51C0E751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lang w:val="hr-HR"/>
        </w:rPr>
      </w:pPr>
      <w:r w:rsidRPr="0058576E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58576E">
        <w:rPr>
          <w:rFonts w:ascii="Cambria" w:hAnsi="Cambria"/>
          <w:lang w:val="hr-HR"/>
        </w:rPr>
        <w:t>JLS</w:t>
      </w:r>
      <w:proofErr w:type="spellEnd"/>
      <w:r w:rsidRPr="0058576E">
        <w:rPr>
          <w:rFonts w:ascii="Cambria" w:hAnsi="Cambria"/>
          <w:lang w:val="hr-HR"/>
        </w:rPr>
        <w:t xml:space="preserve"> osnivač ili suosnivač. Financiranje proračunskih korisnika je većim dijelom iz proračuna svog/svojih osnivača ili suosnivača. Proračunski korisnici </w:t>
      </w:r>
      <w:proofErr w:type="spellStart"/>
      <w:r w:rsidRPr="0058576E">
        <w:rPr>
          <w:rFonts w:ascii="Cambria" w:hAnsi="Cambria"/>
          <w:lang w:val="hr-HR"/>
        </w:rPr>
        <w:t>JLS</w:t>
      </w:r>
      <w:proofErr w:type="spellEnd"/>
      <w:r w:rsidRPr="0058576E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</w:t>
      </w:r>
    </w:p>
    <w:p w14:paraId="7076DCCC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lang w:val="hr-HR"/>
        </w:rPr>
      </w:pPr>
    </w:p>
    <w:p w14:paraId="1B017E2A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58576E">
        <w:rPr>
          <w:rFonts w:ascii="Cambria" w:hAnsi="Cambria"/>
          <w:b/>
          <w:lang w:val="hr-HR"/>
        </w:rPr>
        <w:t>Zakoni i sankcije</w:t>
      </w:r>
    </w:p>
    <w:p w14:paraId="2351D512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1567D5C7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58576E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4B80FCA6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2E693F7A" w14:textId="77777777" w:rsidR="0058576E" w:rsidRPr="0058576E" w:rsidRDefault="0058576E" w:rsidP="0058576E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58576E">
        <w:rPr>
          <w:rFonts w:ascii="Cambria" w:hAnsi="Cambria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 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658A79B7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lastRenderedPageBreak/>
        <w:t>PRIHODI I PRIMICI</w:t>
      </w:r>
    </w:p>
    <w:p w14:paraId="0C6C492F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lang w:val="hr-HR"/>
        </w:rPr>
      </w:pPr>
    </w:p>
    <w:p w14:paraId="31405289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t>Ukupni prihodi i primici Općine Baška Voda za 2023. godinu planirani su u iznosu od 5.009.360,00 eura</w:t>
      </w:r>
    </w:p>
    <w:p w14:paraId="0BAB3008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lang w:val="hr-HR"/>
        </w:rPr>
      </w:pPr>
    </w:p>
    <w:p w14:paraId="415E69B7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t>Prihodi od poslovanja</w:t>
      </w:r>
    </w:p>
    <w:p w14:paraId="5E0A5DE8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</w:p>
    <w:p w14:paraId="4EC1719C" w14:textId="77777777" w:rsidR="0058576E" w:rsidRPr="0058576E" w:rsidRDefault="0058576E" w:rsidP="0058576E">
      <w:pPr>
        <w:spacing w:line="276" w:lineRule="auto"/>
        <w:ind w:firstLine="284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Prihodi od poslovanja Općine Baška Voda za 2023. godinu planirani su u iznosu od 5.004.360,00 eura, a čine ih:</w:t>
      </w:r>
    </w:p>
    <w:p w14:paraId="6E304FD3" w14:textId="77777777" w:rsidR="0058576E" w:rsidRPr="0058576E" w:rsidRDefault="0058576E" w:rsidP="0058576E">
      <w:pPr>
        <w:spacing w:line="276" w:lineRule="auto"/>
        <w:ind w:firstLine="284"/>
        <w:jc w:val="both"/>
        <w:rPr>
          <w:rFonts w:ascii="Cambria" w:hAnsi="Cambria" w:cs="Cambria"/>
          <w:lang w:val="hr-HR"/>
        </w:rPr>
      </w:pPr>
    </w:p>
    <w:p w14:paraId="4E734FE8" w14:textId="77777777" w:rsidR="0058576E" w:rsidRPr="0058576E" w:rsidRDefault="0058576E" w:rsidP="0058576E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Prihodi od poreza planirani u iznosu od 1.622.400,00 eura, od toga porez i prirez na dohodak planiran u iznosu od 532.250,00 eura, porezi na imovinu planiran u iznosu od 1.010.000,00 eura i porezi na robu i usluge planiran u iznosu od 80.150,00 eura;</w:t>
      </w:r>
    </w:p>
    <w:p w14:paraId="38CD53AB" w14:textId="77777777" w:rsidR="0058576E" w:rsidRPr="0058576E" w:rsidRDefault="0058576E" w:rsidP="0058576E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Pomoći iz inozemstva (darovnice) i od subjekata unutar opće države planirane u iznosu od 1.047.000,00 eura, od toga pomoći od međunarodnih organizacija iznose 540.000,00 eura, pomoći iz proračuna planirane u iznosu 500.000,00 eura i pomoći od izvanproračunskih korisnika u iznosu od 7.000,00 eura;</w:t>
      </w:r>
    </w:p>
    <w:p w14:paraId="380F9F8A" w14:textId="77777777" w:rsidR="0058576E" w:rsidRPr="0058576E" w:rsidRDefault="0058576E" w:rsidP="0058576E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Prihodi od imovine planirani u iznosu od 484.500,00 eura, od toga prihodi od financijske imovine 24.000,00 eura i prihodi od nefinancijske imovine planirani u iznosu od 460.500,00 eura;</w:t>
      </w:r>
    </w:p>
    <w:p w14:paraId="4A68317F" w14:textId="77777777" w:rsidR="0058576E" w:rsidRPr="0058576E" w:rsidRDefault="0058576E" w:rsidP="0058576E">
      <w:pPr>
        <w:numPr>
          <w:ilvl w:val="0"/>
          <w:numId w:val="2"/>
        </w:numPr>
        <w:tabs>
          <w:tab w:val="left" w:pos="1701"/>
        </w:tabs>
        <w:spacing w:line="276" w:lineRule="auto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Prihodi od administrativnih pristojbi i po posebnim propisima planirani u iznosu od 1.824.810,00 eura, od toga administrativne (upravne) pristojbe planirane u iznosu od 156.500,00 eura, prihodi po posebnim propisima planirani u iznosu od 357.050,00 eura i komunalni doprinosi i naknade planirani u iznosu od 1.311.260,00 eura;</w:t>
      </w:r>
    </w:p>
    <w:p w14:paraId="1A3FB01A" w14:textId="77777777" w:rsidR="0058576E" w:rsidRPr="0058576E" w:rsidRDefault="0058576E" w:rsidP="0058576E">
      <w:pPr>
        <w:numPr>
          <w:ilvl w:val="0"/>
          <w:numId w:val="2"/>
        </w:numPr>
        <w:tabs>
          <w:tab w:val="left" w:pos="1701"/>
        </w:tabs>
        <w:spacing w:line="276" w:lineRule="auto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Prihodi od prodaje proizvoda i roba te pruženih usluga i prihodi od donacija planirani u iznosu od 650,00 eura,</w:t>
      </w:r>
    </w:p>
    <w:p w14:paraId="18539C8E" w14:textId="77777777" w:rsidR="0058576E" w:rsidRPr="0058576E" w:rsidRDefault="0058576E" w:rsidP="0058576E">
      <w:pPr>
        <w:numPr>
          <w:ilvl w:val="0"/>
          <w:numId w:val="2"/>
        </w:numPr>
        <w:tabs>
          <w:tab w:val="left" w:pos="1701"/>
        </w:tabs>
        <w:spacing w:line="276" w:lineRule="auto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Kazne, upravne mjere i ostali prihodi planirane u iznosu od 20.000,00 eura;</w:t>
      </w:r>
    </w:p>
    <w:p w14:paraId="5AA9B586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</w:p>
    <w:p w14:paraId="3BA5A986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t>Prihodi od prodaje dugotrajne nefinancijske imovine</w:t>
      </w:r>
    </w:p>
    <w:p w14:paraId="5D655D55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lang w:val="hr-HR"/>
        </w:rPr>
      </w:pPr>
    </w:p>
    <w:p w14:paraId="14BA760D" w14:textId="77777777" w:rsidR="0058576E" w:rsidRPr="0058576E" w:rsidRDefault="0058576E" w:rsidP="0058576E">
      <w:pPr>
        <w:spacing w:line="276" w:lineRule="auto"/>
        <w:ind w:firstLine="708"/>
        <w:jc w:val="both"/>
        <w:rPr>
          <w:rFonts w:ascii="Cambria" w:hAnsi="Cambria" w:cs="Cambria"/>
          <w:lang w:val="hr-HR"/>
        </w:rPr>
      </w:pPr>
      <w:r w:rsidRPr="0058576E">
        <w:rPr>
          <w:rFonts w:ascii="Cambria" w:hAnsi="Cambria" w:cs="Cambria"/>
          <w:lang w:val="hr-HR"/>
        </w:rPr>
        <w:t>Prihodi od prodaje dugotrajne nefinancijske imovine planirani u iznosu od 5.000,00 eura za zemljište.</w:t>
      </w:r>
    </w:p>
    <w:p w14:paraId="504F80FA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</w:p>
    <w:p w14:paraId="1513CFC3" w14:textId="77777777" w:rsidR="0058576E" w:rsidRPr="0058576E" w:rsidRDefault="0058576E" w:rsidP="0058576E">
      <w:pPr>
        <w:spacing w:after="200"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br w:type="page"/>
      </w:r>
    </w:p>
    <w:p w14:paraId="3416369F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lastRenderedPageBreak/>
        <w:t>RASHODI I IZDACI</w:t>
      </w:r>
    </w:p>
    <w:p w14:paraId="533A2FE0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</w:p>
    <w:p w14:paraId="7A4B9477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t>Ukupni rashodi i izdaci Općine Baška Voda za 2023. godinu planirani su u iznosu od 5.009.360,00 eura</w:t>
      </w:r>
    </w:p>
    <w:p w14:paraId="408B8F3E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lang w:val="hr-HR"/>
        </w:rPr>
      </w:pPr>
    </w:p>
    <w:p w14:paraId="45031AA9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t>Rashodi poslovanja Općine Baška Voda za 2023. godinu planirani u iznosu od 2.684.110,00 eura, od toga:</w:t>
      </w:r>
    </w:p>
    <w:p w14:paraId="232296C5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</w:p>
    <w:p w14:paraId="00FEC116" w14:textId="77777777" w:rsidR="0058576E" w:rsidRPr="0058576E" w:rsidRDefault="0058576E" w:rsidP="0058576E">
      <w:pPr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Rashodi za zaposlene planirani su u iznosu od 698.500,00 eura, od toga plaće 605.000,00 eura, ostali rashodi za zaposlene iznose 13.500,00 eura  i doprinosi na plaće iznose 80.000,00 eura;</w:t>
      </w:r>
    </w:p>
    <w:p w14:paraId="48422157" w14:textId="77777777" w:rsidR="0058576E" w:rsidRPr="0058576E" w:rsidRDefault="0058576E" w:rsidP="0058576E">
      <w:pPr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Materijalni rashodi planirani su u iznosu od 1.242.950,00 eura, od toga:</w:t>
      </w:r>
    </w:p>
    <w:p w14:paraId="2C05D0DD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Naknade troškova zaposlenima planirane u iznosu od 24.400,00 eura, od toga službena putovanja 10.900,00 eura (dnevnice za službeni put, naknade za smještaj, naknade za prijevoz itd.), stručno usavršavanje zaposlenika 2.500,00 eura i ostale naknade troškova zaposlenima 11.000,00 eura,</w:t>
      </w:r>
    </w:p>
    <w:p w14:paraId="762A6D72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Rashodi za materijal i energiju planirani u iznosu od 259.050,00 eura, od toga uredski materijal i ostali materijalni rashodi iznose 20.750,00 eura (literatura, materijal i sredstva za čišćenje, materijal za higijenske potrebe i njegu, ostali materijal za potrebe redovnog poslovanja), energija iznosi 203.700,00 eura (električna energija Općina Baška Voda, </w:t>
      </w:r>
      <w:proofErr w:type="spellStart"/>
      <w:r w:rsidRPr="0058576E">
        <w:rPr>
          <w:rFonts w:ascii="Cambria" w:hAnsi="Cambria" w:cs="Cambria"/>
          <w:kern w:val="2"/>
          <w:lang w:val="hr-HR"/>
        </w:rPr>
        <w:t>Promajna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javna rasvjeta i motorni benzin i dizel gorivo), materijal i dijelovi za tekuće i investicijsko održavanje  iznose 27.600,00 eura (materijal i dijelovi za tekuće i investicijsko održavanje postrojenja i opreme Baška Voda, </w:t>
      </w:r>
      <w:proofErr w:type="spellStart"/>
      <w:r w:rsidRPr="0058576E">
        <w:rPr>
          <w:rFonts w:ascii="Cambria" w:hAnsi="Cambria" w:cs="Cambria"/>
          <w:kern w:val="2"/>
          <w:lang w:val="hr-HR"/>
        </w:rPr>
        <w:t>Promajna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Krvavica, </w:t>
      </w:r>
      <w:proofErr w:type="spellStart"/>
      <w:r w:rsidRPr="0058576E">
        <w:rPr>
          <w:rFonts w:ascii="Cambria" w:hAnsi="Cambria" w:cs="Cambria"/>
          <w:kern w:val="2"/>
          <w:lang w:val="hr-HR"/>
        </w:rPr>
        <w:t>Bratuš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i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>), sitni inventar i auto gume iznose 3.500,00 eura i službena, radna i zaštitna odjeća i obuća iznosi 3.500,00 eura,</w:t>
      </w:r>
    </w:p>
    <w:p w14:paraId="54B5B356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Rashodi za usluge planirani su u iznosu od 724.700,00 eura, od toga usluge telefona, pošte i prijevoza iznose 26.000,00 eura, usluge tekućeg i investicijskog održavanja iznose 343.300,00 eura (usluge tekućeg i investicijskog održavanja građevinskih objekata, prijevoznih sredstava, cesta, kulturnih spomenika, zelenih površina, gradine Baška Voda), usluge promidžbe i informiranja iznose 15.000,00 eura, komunalne usluge iznose 153.150,00 eura (opskrba vodom, iznošenje i odvoz smeća, dezinsekcija i deratizacija i ostale komunalne usluge), intelektualne i osobne usluge iznose 98.650,00 eura (autorski honorari, usluge odvjetnika i pravnog savjetovanja, usluge vještačenja, usluge agencija, studentskog servisa – prijepisi, prijevodi, ostale intelektualne usluge), računalne usluge iznose 18.000,00 eura i ostale usluge 70.600,00 eura (grafičke i tiskarske usluge, usluge kopiranja i uvezivanja, film i izrada fotografija, usluge pri registraciji prijevoznih sredstava, usluge čišćenja i pranja, ostale nespomenute usluge i ostale nespomenute usluge PLAVA ZASTAVA),</w:t>
      </w:r>
    </w:p>
    <w:p w14:paraId="59ADCD12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Ostali nespomenuti rashodi poslovanja planirani su u iznosu od 234.800,00 eura, od toga naknade za rad predstavničkih i izvršnih tijela, povjerenstva i </w:t>
      </w:r>
      <w:r w:rsidRPr="0058576E">
        <w:rPr>
          <w:rFonts w:ascii="Cambria" w:hAnsi="Cambria" w:cs="Cambria"/>
          <w:kern w:val="2"/>
          <w:lang w:val="hr-HR"/>
        </w:rPr>
        <w:lastRenderedPageBreak/>
        <w:t xml:space="preserve">slično iznose 33.300,00 eura, premija osiguranja iznosi 2.700,00 eura, reprezentacija iznosi 20.000,00 eura, članarine 2.000,00 eura, pristojbe i norme iznose 4.650,00 eura, troškovi sudskih postupaka iznose 6.500,00 eura i ostali nespomenuti rashodi poslovanja iznose 165.650,00 eura (ostali nespomenuti rashodi poslovanja Baška Voda,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</w:t>
      </w:r>
      <w:proofErr w:type="spellStart"/>
      <w:r w:rsidRPr="0058576E">
        <w:rPr>
          <w:rFonts w:ascii="Cambria" w:hAnsi="Cambria" w:cs="Cambria"/>
          <w:kern w:val="2"/>
          <w:lang w:val="hr-HR"/>
        </w:rPr>
        <w:t>Promajna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Krvavica, Kultura, </w:t>
      </w:r>
      <w:proofErr w:type="spellStart"/>
      <w:r w:rsidRPr="0058576E">
        <w:rPr>
          <w:rFonts w:ascii="Cambria" w:hAnsi="Cambria" w:cs="Cambria"/>
          <w:kern w:val="2"/>
          <w:lang w:val="hr-HR"/>
        </w:rPr>
        <w:t>Bratuš</w:t>
      </w:r>
      <w:proofErr w:type="spellEnd"/>
      <w:r w:rsidRPr="0058576E">
        <w:rPr>
          <w:rFonts w:ascii="Cambria" w:hAnsi="Cambria" w:cs="Cambria"/>
          <w:kern w:val="2"/>
          <w:lang w:val="hr-HR"/>
        </w:rPr>
        <w:t>, Izbori i povrat poreza);</w:t>
      </w:r>
    </w:p>
    <w:p w14:paraId="7BA11BC7" w14:textId="77777777" w:rsidR="0058576E" w:rsidRPr="0058576E" w:rsidRDefault="0058576E" w:rsidP="0058576E">
      <w:pPr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Financijski rashodi planirani su u iznosu od 14.000,00 eura (bankarske usluge i usluge platnog prometa, zatezne kamate, ostali nespomenuti financijski rashodi); </w:t>
      </w:r>
    </w:p>
    <w:p w14:paraId="6EB3A53D" w14:textId="77777777" w:rsidR="0058576E" w:rsidRPr="0058576E" w:rsidRDefault="0058576E" w:rsidP="0058576E">
      <w:pPr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Naknade građanima i kućanstvima na temelju osiguranja i druge naknade planirane u iznosu od 206.500,00 eura (pomoć obiteljima i kućanstvima i porodiljne naknade i oprema za novorođenčad);</w:t>
      </w:r>
    </w:p>
    <w:p w14:paraId="7CD7106A" w14:textId="77777777" w:rsidR="0058576E" w:rsidRPr="0058576E" w:rsidRDefault="0058576E" w:rsidP="0058576E">
      <w:pPr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Ostali rashodi planirani u iznosu od 522.160,00 eura, od toga tekuće donacije u novcu iznose 521.510,00 eura (tekuće donacije vjerskim zajednicama: Župa BDM, strankama - općinsko vijeće, udrugama građana Lovačka udruga Kuna, </w:t>
      </w:r>
      <w:proofErr w:type="spellStart"/>
      <w:r w:rsidRPr="0058576E">
        <w:rPr>
          <w:rFonts w:ascii="Cambria" w:hAnsi="Cambria" w:cs="Cambria"/>
          <w:kern w:val="2"/>
          <w:lang w:val="hr-HR"/>
        </w:rPr>
        <w:t>Balabra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Uljarska zadruga, NK </w:t>
      </w:r>
      <w:proofErr w:type="spellStart"/>
      <w:r w:rsidRPr="0058576E">
        <w:rPr>
          <w:rFonts w:ascii="Cambria" w:hAnsi="Cambria" w:cs="Cambria"/>
          <w:kern w:val="2"/>
          <w:lang w:val="hr-HR"/>
        </w:rPr>
        <w:t>Urania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STR </w:t>
      </w:r>
      <w:proofErr w:type="spellStart"/>
      <w:r w:rsidRPr="0058576E">
        <w:rPr>
          <w:rFonts w:ascii="Cambria" w:hAnsi="Cambria" w:cs="Cambria"/>
          <w:kern w:val="2"/>
          <w:lang w:val="hr-HR"/>
        </w:rPr>
        <w:t>Urania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</w:t>
      </w:r>
      <w:proofErr w:type="spellStart"/>
      <w:r w:rsidRPr="0058576E">
        <w:rPr>
          <w:rFonts w:ascii="Cambria" w:hAnsi="Cambria" w:cs="Cambria"/>
          <w:kern w:val="2"/>
          <w:lang w:val="hr-HR"/>
        </w:rPr>
        <w:t>GSS</w:t>
      </w:r>
      <w:proofErr w:type="spellEnd"/>
      <w:r w:rsidRPr="0058576E">
        <w:rPr>
          <w:rFonts w:ascii="Cambria" w:hAnsi="Cambria" w:cs="Cambria"/>
          <w:kern w:val="2"/>
          <w:lang w:val="hr-HR"/>
        </w:rPr>
        <w:t>, planinarsko društvo sv. Ilija Baška Voda, i drugi) i kazne, penali i naknade štete iznose 650,00 eura.</w:t>
      </w:r>
    </w:p>
    <w:p w14:paraId="619DAB11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lang w:val="hr-HR"/>
        </w:rPr>
      </w:pPr>
    </w:p>
    <w:p w14:paraId="78B88F0D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  <w:r w:rsidRPr="0058576E">
        <w:rPr>
          <w:rFonts w:ascii="Cambria" w:hAnsi="Cambria" w:cs="Cambria"/>
          <w:b/>
          <w:bCs/>
          <w:lang w:val="hr-HR"/>
        </w:rPr>
        <w:t>Rashodi za nabavu nefinancijske imovine</w:t>
      </w:r>
    </w:p>
    <w:p w14:paraId="5B54EACB" w14:textId="77777777" w:rsidR="0058576E" w:rsidRPr="0058576E" w:rsidRDefault="0058576E" w:rsidP="0058576E">
      <w:pPr>
        <w:spacing w:line="276" w:lineRule="auto"/>
        <w:jc w:val="both"/>
        <w:rPr>
          <w:rFonts w:ascii="Cambria" w:hAnsi="Cambria" w:cs="Cambria"/>
          <w:b/>
          <w:bCs/>
          <w:lang w:val="hr-HR"/>
        </w:rPr>
      </w:pPr>
    </w:p>
    <w:p w14:paraId="63C05E5D" w14:textId="77777777" w:rsidR="0058576E" w:rsidRPr="0058576E" w:rsidRDefault="0058576E" w:rsidP="0058576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b/>
          <w:bCs/>
          <w:kern w:val="2"/>
          <w:lang w:val="hr-HR"/>
        </w:rPr>
      </w:pPr>
      <w:r w:rsidRPr="0058576E">
        <w:rPr>
          <w:rFonts w:ascii="Cambria" w:hAnsi="Cambria" w:cs="Cambria"/>
          <w:b/>
          <w:bCs/>
          <w:kern w:val="2"/>
          <w:lang w:val="hr-HR"/>
        </w:rPr>
        <w:t>Rashodi za nabavu nefinancijske imovine planirani su u iznosu od 2.325.250,00 eura, od toga:</w:t>
      </w:r>
    </w:p>
    <w:p w14:paraId="65F0EFD9" w14:textId="77777777" w:rsidR="0058576E" w:rsidRPr="0058576E" w:rsidRDefault="0058576E" w:rsidP="0058576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</w:p>
    <w:p w14:paraId="672E3E68" w14:textId="77777777" w:rsidR="0058576E" w:rsidRPr="0058576E" w:rsidRDefault="0058576E" w:rsidP="0058576E">
      <w:pPr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Rashodi za nabavu neproizvedene dugotrajne imovine planirani u iznosu od 182.500,00 eura, od toga </w:t>
      </w:r>
    </w:p>
    <w:p w14:paraId="741D0F2B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materijalna imovina – prirodna bogatstva planirano u iznosu od 65.000,00 eura za zemljište,</w:t>
      </w:r>
    </w:p>
    <w:p w14:paraId="19DBDA56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nematerijalna imovina planirano u iznosu od 117.500,00 eura za ostalu nematerijalnu imovinu (prostorni planovi, projekti, licence i </w:t>
      </w:r>
      <w:proofErr w:type="spellStart"/>
      <w:r w:rsidRPr="0058576E">
        <w:rPr>
          <w:rFonts w:ascii="Cambria" w:hAnsi="Cambria" w:cs="Cambria"/>
          <w:kern w:val="2"/>
          <w:lang w:val="hr-HR"/>
        </w:rPr>
        <w:t>softweri</w:t>
      </w:r>
      <w:proofErr w:type="spellEnd"/>
      <w:r w:rsidRPr="0058576E">
        <w:rPr>
          <w:rFonts w:ascii="Cambria" w:hAnsi="Cambria" w:cs="Cambria"/>
          <w:kern w:val="2"/>
          <w:lang w:val="hr-HR"/>
        </w:rPr>
        <w:t>);</w:t>
      </w:r>
    </w:p>
    <w:p w14:paraId="2253D682" w14:textId="77777777" w:rsidR="0058576E" w:rsidRPr="0058576E" w:rsidRDefault="0058576E" w:rsidP="0058576E">
      <w:pPr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Rashodi za nabavu proizvedene dugotrajne imovine planirani u iznosu od 2.142.750,00 eura, od toga:</w:t>
      </w:r>
    </w:p>
    <w:p w14:paraId="0558F4B9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 xml:space="preserve">građevinski objekti planirano u iznosu od 1.471.000,00 eura, od toga poslovni objekti iznose 604.400,00 eura (Uredski prostori - otkup zgrade koju koristi Općina Baška Voda, Gospodarske zgrade - Kava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</w:t>
      </w:r>
      <w:proofErr w:type="spellStart"/>
      <w:r w:rsidRPr="0058576E">
        <w:rPr>
          <w:rFonts w:ascii="Cambria" w:hAnsi="Cambria" w:cs="Cambria"/>
          <w:kern w:val="2"/>
          <w:lang w:val="hr-HR"/>
        </w:rPr>
        <w:t>SORTIRNICA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Gospodarske zgrade - Kava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EKO DVORIŠTE, Gospodarske zgrade - Kava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ULJARA, Gospodarske zgrade - Kava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</w:t>
      </w:r>
      <w:proofErr w:type="spellStart"/>
      <w:r w:rsidRPr="0058576E">
        <w:rPr>
          <w:rFonts w:ascii="Cambria" w:hAnsi="Cambria" w:cs="Cambria"/>
          <w:kern w:val="2"/>
          <w:lang w:val="hr-HR"/>
        </w:rPr>
        <w:t>KOMPOSTANA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Gospodarske zgrade - Kava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STRELJANA, Uredski prostori -Izgradnja stare zgrade Mjesne zajednice, Izgradnja i uređenje SV. LOVRE </w:t>
      </w:r>
      <w:proofErr w:type="spellStart"/>
      <w:r w:rsidRPr="0058576E">
        <w:rPr>
          <w:rFonts w:ascii="Cambria" w:hAnsi="Cambria" w:cs="Cambria"/>
          <w:kern w:val="2"/>
          <w:lang w:val="hr-HR"/>
        </w:rPr>
        <w:t>ŠUMATORIJ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Izgradnja i uređenje Tržnice u Baškoj Vodi, Zgrade znanstvenih i obrazovnih institucija (fakulteti, škole, vrtići i slično) VRTIĆ, Zgrade znanstvenih i obrazovnih institucija (fakulteti, škole, vrtići i slično) MUZEJ, Sportske dvorane i rekreacijski objekti NOVA DVORANA, Sportske dvorane i rekreacijski objekti BOĆALIŠTE, Uređenje STARE AMBULANTE, Izgradnja INFO CENTRA Baška Voda (Rogač), Izgradnja INFO CENTRA </w:t>
      </w:r>
      <w:proofErr w:type="spellStart"/>
      <w:r w:rsidRPr="0058576E">
        <w:rPr>
          <w:rFonts w:ascii="Cambria" w:hAnsi="Cambria" w:cs="Cambria"/>
          <w:kern w:val="2"/>
          <w:lang w:val="hr-HR"/>
        </w:rPr>
        <w:t>Promajna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(ex DVD), Izgradnja EKO OTOKA), ceste, željeznice i slični građevinski objekti </w:t>
      </w:r>
      <w:r w:rsidRPr="0058576E">
        <w:rPr>
          <w:rFonts w:ascii="Cambria" w:hAnsi="Cambria" w:cs="Cambria"/>
          <w:kern w:val="2"/>
          <w:lang w:val="hr-HR"/>
        </w:rPr>
        <w:lastRenderedPageBreak/>
        <w:t xml:space="preserve">iznose 27.000,00 eura i ostali građevinski objekti iznose 839.600,00 eura (Plinovod, vodovod, kanalizacija  </w:t>
      </w:r>
      <w:proofErr w:type="spellStart"/>
      <w:r w:rsidRPr="0058576E">
        <w:rPr>
          <w:rFonts w:ascii="Cambria" w:hAnsi="Cambria" w:cs="Cambria"/>
          <w:kern w:val="2"/>
          <w:lang w:val="hr-HR"/>
        </w:rPr>
        <w:t>BRATUŠ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KRVAVICA, Plinovod, vodovod, kanalizacija BAŠKA VODA, Kanali i luke SANACIJA LUKOBRANA U </w:t>
      </w:r>
      <w:proofErr w:type="spellStart"/>
      <w:r w:rsidRPr="0058576E">
        <w:rPr>
          <w:rFonts w:ascii="Cambria" w:hAnsi="Cambria" w:cs="Cambria"/>
          <w:kern w:val="2"/>
          <w:lang w:val="hr-HR"/>
        </w:rPr>
        <w:t>PROMAJNI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Ostali nespomenuti građevinski objekti PROJEKT PLAŽA, Rekonstrukcija pera (rtova) na svim plažama Općine Baška Voda, Ostali nespomenuti gr. objekti Uređenje botaničkog Vrta POTOČINE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Ostali nespomenuti građevinski objekti UREĐENJE Trga Fra </w:t>
      </w:r>
      <w:proofErr w:type="spellStart"/>
      <w:r w:rsidRPr="0058576E">
        <w:rPr>
          <w:rFonts w:ascii="Cambria" w:hAnsi="Cambria" w:cs="Cambria"/>
          <w:kern w:val="2"/>
          <w:lang w:val="hr-HR"/>
        </w:rPr>
        <w:t>Gabre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Cvitanovića, UREĐENJE ulice Vladimira Nazora, UREĐENJE STARE AMBULANTE, Prostorija za </w:t>
      </w:r>
      <w:proofErr w:type="spellStart"/>
      <w:r w:rsidRPr="0058576E">
        <w:rPr>
          <w:rFonts w:ascii="Cambria" w:hAnsi="Cambria" w:cs="Cambria"/>
          <w:kern w:val="2"/>
          <w:lang w:val="hr-HR"/>
        </w:rPr>
        <w:t>ispračaj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pokojnika –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 groblje, UREĐENJE Oborinske ulice, BAŠKA VODA, Ostali nespomenuti građevinski objekti </w:t>
      </w:r>
      <w:proofErr w:type="spellStart"/>
      <w:r w:rsidRPr="0058576E">
        <w:rPr>
          <w:rFonts w:ascii="Cambria" w:hAnsi="Cambria" w:cs="Cambria"/>
          <w:kern w:val="2"/>
          <w:lang w:val="hr-HR"/>
        </w:rPr>
        <w:t>BAST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Ostali nespomenuti građevinski objekti </w:t>
      </w:r>
      <w:proofErr w:type="spellStart"/>
      <w:r w:rsidRPr="0058576E">
        <w:rPr>
          <w:rFonts w:ascii="Cambria" w:hAnsi="Cambria" w:cs="Cambria"/>
          <w:kern w:val="2"/>
          <w:lang w:val="hr-HR"/>
        </w:rPr>
        <w:t>PROMAJNA</w:t>
      </w:r>
      <w:proofErr w:type="spellEnd"/>
      <w:r w:rsidRPr="0058576E">
        <w:rPr>
          <w:rFonts w:ascii="Cambria" w:hAnsi="Cambria" w:cs="Cambria"/>
          <w:kern w:val="2"/>
          <w:lang w:val="hr-HR"/>
        </w:rPr>
        <w:t xml:space="preserve">, Ostali nespomenuti građevinski objekti KRVAVICA, Ostali nespomenuti građevinski objekti </w:t>
      </w:r>
      <w:proofErr w:type="spellStart"/>
      <w:r w:rsidRPr="0058576E">
        <w:rPr>
          <w:rFonts w:ascii="Cambria" w:hAnsi="Cambria" w:cs="Cambria"/>
          <w:kern w:val="2"/>
          <w:lang w:val="hr-HR"/>
        </w:rPr>
        <w:t>BRATUŠ</w:t>
      </w:r>
      <w:proofErr w:type="spellEnd"/>
      <w:r w:rsidRPr="0058576E">
        <w:rPr>
          <w:rFonts w:ascii="Cambria" w:hAnsi="Cambria" w:cs="Cambria"/>
          <w:kern w:val="2"/>
          <w:lang w:val="hr-HR"/>
        </w:rPr>
        <w:t>, Ostali nespomenuti građevinski objekti TOPIĆI)</w:t>
      </w:r>
    </w:p>
    <w:p w14:paraId="40B1193A" w14:textId="77777777" w:rsidR="0058576E" w:rsidRPr="0058576E" w:rsidRDefault="0058576E" w:rsidP="0058576E">
      <w:pPr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  <w:lang w:val="hr-HR"/>
        </w:rPr>
      </w:pPr>
      <w:r w:rsidRPr="0058576E">
        <w:rPr>
          <w:rFonts w:ascii="Cambria" w:hAnsi="Cambria" w:cs="Cambria"/>
          <w:kern w:val="2"/>
          <w:lang w:val="hr-HR"/>
        </w:rPr>
        <w:t>postrojenje i oprema planirano u iznosu od 671.750,00 eura, od toga uredska oprema i namještaj iznose 20.000,00 eura, komunikacijska oprema iznosi 1.300,00 eura, oprema za održavanje i zaštitu iznosi 2.650,00 eura, ostali instrumenti uređaji i strojevi iznose 1.300,00 eura, sportska i glazbena oprema iznosi 4.000,00 eura i uređaji, strojevi i oprema za ostale namjene (kandelabri, koševi, klupe, kante, kontejneri, strojevi za uljaru) iznose 642.500,00 eura,</w:t>
      </w:r>
    </w:p>
    <w:p w14:paraId="65218C80" w14:textId="77777777" w:rsidR="0058576E" w:rsidRPr="0058576E" w:rsidRDefault="0058576E" w:rsidP="0058576E">
      <w:pPr>
        <w:spacing w:line="276" w:lineRule="auto"/>
        <w:ind w:left="1440"/>
        <w:jc w:val="both"/>
        <w:rPr>
          <w:rFonts w:ascii="Cambria" w:hAnsi="Cambria" w:cs="Cambria"/>
          <w:lang w:val="hr-HR"/>
        </w:rPr>
      </w:pPr>
    </w:p>
    <w:p w14:paraId="1CB98A8B" w14:textId="77777777" w:rsidR="00733FC8" w:rsidRPr="00533659" w:rsidRDefault="00733FC8" w:rsidP="00733FC8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br w:type="page"/>
      </w:r>
    </w:p>
    <w:p w14:paraId="090376A7" w14:textId="69B8D8ED" w:rsidR="00E423FC" w:rsidRPr="00462BB0" w:rsidRDefault="00E423FC" w:rsidP="00462BB0">
      <w:pPr>
        <w:spacing w:after="200" w:line="276" w:lineRule="auto"/>
        <w:jc w:val="both"/>
        <w:rPr>
          <w:rFonts w:ascii="Cambria" w:hAnsi="Cambria"/>
          <w:lang w:val="hr-HR"/>
        </w:rPr>
      </w:pPr>
    </w:p>
    <w:sectPr w:rsidR="00E423FC" w:rsidRPr="00462BB0">
      <w:pgSz w:w="11906" w:h="16838"/>
      <w:pgMar w:top="993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F70"/>
    <w:multiLevelType w:val="hybridMultilevel"/>
    <w:tmpl w:val="D2B4E6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6A4"/>
    <w:multiLevelType w:val="hybridMultilevel"/>
    <w:tmpl w:val="F3DCD3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86B"/>
    <w:multiLevelType w:val="hybridMultilevel"/>
    <w:tmpl w:val="04404D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D1D5B"/>
    <w:multiLevelType w:val="hybridMultilevel"/>
    <w:tmpl w:val="C43CD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4DB7"/>
    <w:multiLevelType w:val="hybridMultilevel"/>
    <w:tmpl w:val="7F88F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D62"/>
    <w:multiLevelType w:val="hybridMultilevel"/>
    <w:tmpl w:val="97960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5412"/>
    <w:multiLevelType w:val="hybridMultilevel"/>
    <w:tmpl w:val="08FACD2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BCC05FF"/>
    <w:multiLevelType w:val="hybridMultilevel"/>
    <w:tmpl w:val="5858A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5B4"/>
    <w:multiLevelType w:val="hybridMultilevel"/>
    <w:tmpl w:val="D3C85C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77EC"/>
    <w:multiLevelType w:val="hybridMultilevel"/>
    <w:tmpl w:val="C4884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0DB5"/>
    <w:multiLevelType w:val="hybridMultilevel"/>
    <w:tmpl w:val="2DF80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BBA"/>
    <w:multiLevelType w:val="hybridMultilevel"/>
    <w:tmpl w:val="189452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8B129A"/>
    <w:multiLevelType w:val="hybridMultilevel"/>
    <w:tmpl w:val="5FFCDB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6477B2"/>
    <w:multiLevelType w:val="hybridMultilevel"/>
    <w:tmpl w:val="83DE78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B1436"/>
    <w:multiLevelType w:val="hybridMultilevel"/>
    <w:tmpl w:val="B868F0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2A3C7C"/>
    <w:multiLevelType w:val="hybridMultilevel"/>
    <w:tmpl w:val="4B3A68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E37561"/>
    <w:multiLevelType w:val="hybridMultilevel"/>
    <w:tmpl w:val="CD027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C3B56"/>
    <w:multiLevelType w:val="hybridMultilevel"/>
    <w:tmpl w:val="454835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12966"/>
    <w:multiLevelType w:val="hybridMultilevel"/>
    <w:tmpl w:val="C62AD2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3E10C7"/>
    <w:multiLevelType w:val="hybridMultilevel"/>
    <w:tmpl w:val="C1988A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6576BC"/>
    <w:multiLevelType w:val="hybridMultilevel"/>
    <w:tmpl w:val="C2664D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B2E0E"/>
    <w:multiLevelType w:val="hybridMultilevel"/>
    <w:tmpl w:val="565C9C1E"/>
    <w:lvl w:ilvl="0" w:tplc="B34AA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03CF4"/>
    <w:multiLevelType w:val="hybridMultilevel"/>
    <w:tmpl w:val="28602F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441874">
    <w:abstractNumId w:val="11"/>
  </w:num>
  <w:num w:numId="2" w16cid:durableId="901063093">
    <w:abstractNumId w:val="19"/>
  </w:num>
  <w:num w:numId="3" w16cid:durableId="1369917430">
    <w:abstractNumId w:val="7"/>
  </w:num>
  <w:num w:numId="4" w16cid:durableId="1534223054">
    <w:abstractNumId w:val="27"/>
  </w:num>
  <w:num w:numId="5" w16cid:durableId="1411930049">
    <w:abstractNumId w:val="2"/>
  </w:num>
  <w:num w:numId="6" w16cid:durableId="1342001418">
    <w:abstractNumId w:val="17"/>
  </w:num>
  <w:num w:numId="7" w16cid:durableId="1147866187">
    <w:abstractNumId w:val="4"/>
  </w:num>
  <w:num w:numId="8" w16cid:durableId="1508910483">
    <w:abstractNumId w:val="0"/>
  </w:num>
  <w:num w:numId="9" w16cid:durableId="562832138">
    <w:abstractNumId w:val="20"/>
  </w:num>
  <w:num w:numId="10" w16cid:durableId="1689604563">
    <w:abstractNumId w:val="5"/>
  </w:num>
  <w:num w:numId="11" w16cid:durableId="1132209523">
    <w:abstractNumId w:val="14"/>
  </w:num>
  <w:num w:numId="12" w16cid:durableId="1600025912">
    <w:abstractNumId w:val="10"/>
  </w:num>
  <w:num w:numId="13" w16cid:durableId="707947299">
    <w:abstractNumId w:val="28"/>
  </w:num>
  <w:num w:numId="14" w16cid:durableId="1609312663">
    <w:abstractNumId w:val="18"/>
  </w:num>
  <w:num w:numId="15" w16cid:durableId="1388994078">
    <w:abstractNumId w:val="22"/>
  </w:num>
  <w:num w:numId="16" w16cid:durableId="1685741726">
    <w:abstractNumId w:val="8"/>
  </w:num>
  <w:num w:numId="17" w16cid:durableId="1547329134">
    <w:abstractNumId w:val="9"/>
  </w:num>
  <w:num w:numId="18" w16cid:durableId="1632592949">
    <w:abstractNumId w:val="12"/>
  </w:num>
  <w:num w:numId="19" w16cid:durableId="198202705">
    <w:abstractNumId w:val="13"/>
  </w:num>
  <w:num w:numId="20" w16cid:durableId="1426076622">
    <w:abstractNumId w:val="3"/>
  </w:num>
  <w:num w:numId="21" w16cid:durableId="588656393">
    <w:abstractNumId w:val="23"/>
  </w:num>
  <w:num w:numId="22" w16cid:durableId="691885166">
    <w:abstractNumId w:val="16"/>
  </w:num>
  <w:num w:numId="23" w16cid:durableId="1419136204">
    <w:abstractNumId w:val="24"/>
  </w:num>
  <w:num w:numId="24" w16cid:durableId="36787119">
    <w:abstractNumId w:val="6"/>
  </w:num>
  <w:num w:numId="25" w16cid:durableId="382948665">
    <w:abstractNumId w:val="29"/>
  </w:num>
  <w:num w:numId="26" w16cid:durableId="1010565389">
    <w:abstractNumId w:val="25"/>
  </w:num>
  <w:num w:numId="27" w16cid:durableId="864094155">
    <w:abstractNumId w:val="1"/>
  </w:num>
  <w:num w:numId="28" w16cid:durableId="529609792">
    <w:abstractNumId w:val="15"/>
  </w:num>
  <w:num w:numId="29" w16cid:durableId="770586842">
    <w:abstractNumId w:val="21"/>
  </w:num>
  <w:num w:numId="30" w16cid:durableId="191654975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8"/>
    <w:rsid w:val="00010EC5"/>
    <w:rsid w:val="00016108"/>
    <w:rsid w:val="00032EF2"/>
    <w:rsid w:val="000360EB"/>
    <w:rsid w:val="00047564"/>
    <w:rsid w:val="00050CF4"/>
    <w:rsid w:val="00057785"/>
    <w:rsid w:val="00060264"/>
    <w:rsid w:val="00074D1A"/>
    <w:rsid w:val="00091298"/>
    <w:rsid w:val="000931A0"/>
    <w:rsid w:val="00094015"/>
    <w:rsid w:val="000A0D50"/>
    <w:rsid w:val="000A1B16"/>
    <w:rsid w:val="000A4534"/>
    <w:rsid w:val="000A5E49"/>
    <w:rsid w:val="000B0E3E"/>
    <w:rsid w:val="000B4B73"/>
    <w:rsid w:val="000B7303"/>
    <w:rsid w:val="000C6BE5"/>
    <w:rsid w:val="000D00AA"/>
    <w:rsid w:val="000D732A"/>
    <w:rsid w:val="000F2C77"/>
    <w:rsid w:val="000F372D"/>
    <w:rsid w:val="00112CD0"/>
    <w:rsid w:val="00136AB3"/>
    <w:rsid w:val="00140E98"/>
    <w:rsid w:val="001545E3"/>
    <w:rsid w:val="001554DF"/>
    <w:rsid w:val="001561B8"/>
    <w:rsid w:val="00164676"/>
    <w:rsid w:val="001748E4"/>
    <w:rsid w:val="00175045"/>
    <w:rsid w:val="001760D6"/>
    <w:rsid w:val="001A22A0"/>
    <w:rsid w:val="001C431D"/>
    <w:rsid w:val="001C5980"/>
    <w:rsid w:val="001D27B5"/>
    <w:rsid w:val="001E0301"/>
    <w:rsid w:val="001E2450"/>
    <w:rsid w:val="001E2881"/>
    <w:rsid w:val="001E4DA9"/>
    <w:rsid w:val="001E776C"/>
    <w:rsid w:val="001F528C"/>
    <w:rsid w:val="00203831"/>
    <w:rsid w:val="002127BA"/>
    <w:rsid w:val="00235E68"/>
    <w:rsid w:val="00250AF7"/>
    <w:rsid w:val="00263CA9"/>
    <w:rsid w:val="002A55B4"/>
    <w:rsid w:val="002C1A4F"/>
    <w:rsid w:val="002D6C56"/>
    <w:rsid w:val="002E002A"/>
    <w:rsid w:val="002E632B"/>
    <w:rsid w:val="002F478C"/>
    <w:rsid w:val="00303997"/>
    <w:rsid w:val="00304A02"/>
    <w:rsid w:val="00314053"/>
    <w:rsid w:val="00315B0B"/>
    <w:rsid w:val="00323F0B"/>
    <w:rsid w:val="00324686"/>
    <w:rsid w:val="00346307"/>
    <w:rsid w:val="00361F68"/>
    <w:rsid w:val="003633BD"/>
    <w:rsid w:val="00365B72"/>
    <w:rsid w:val="00372A6C"/>
    <w:rsid w:val="003811CC"/>
    <w:rsid w:val="00381E3B"/>
    <w:rsid w:val="00393FC9"/>
    <w:rsid w:val="00394B77"/>
    <w:rsid w:val="003A1AD1"/>
    <w:rsid w:val="003A3F11"/>
    <w:rsid w:val="003C2E7D"/>
    <w:rsid w:val="003C4043"/>
    <w:rsid w:val="003E09D3"/>
    <w:rsid w:val="003E511C"/>
    <w:rsid w:val="003E6C1D"/>
    <w:rsid w:val="003F66A9"/>
    <w:rsid w:val="00401317"/>
    <w:rsid w:val="00401553"/>
    <w:rsid w:val="004101C0"/>
    <w:rsid w:val="004142D5"/>
    <w:rsid w:val="00416BB9"/>
    <w:rsid w:val="0042352A"/>
    <w:rsid w:val="004372D8"/>
    <w:rsid w:val="00450829"/>
    <w:rsid w:val="004526E9"/>
    <w:rsid w:val="00454CE1"/>
    <w:rsid w:val="00456844"/>
    <w:rsid w:val="00462BB0"/>
    <w:rsid w:val="00464977"/>
    <w:rsid w:val="004713FC"/>
    <w:rsid w:val="00476C01"/>
    <w:rsid w:val="00480635"/>
    <w:rsid w:val="00487497"/>
    <w:rsid w:val="004A162C"/>
    <w:rsid w:val="004C5CB8"/>
    <w:rsid w:val="004E10B5"/>
    <w:rsid w:val="004E71A1"/>
    <w:rsid w:val="004F1147"/>
    <w:rsid w:val="004F187E"/>
    <w:rsid w:val="004F4034"/>
    <w:rsid w:val="00510330"/>
    <w:rsid w:val="00516E96"/>
    <w:rsid w:val="00532C66"/>
    <w:rsid w:val="00561309"/>
    <w:rsid w:val="005724AD"/>
    <w:rsid w:val="00575B4D"/>
    <w:rsid w:val="0058576E"/>
    <w:rsid w:val="00590762"/>
    <w:rsid w:val="00594857"/>
    <w:rsid w:val="005B5D01"/>
    <w:rsid w:val="005B5E27"/>
    <w:rsid w:val="005C02A5"/>
    <w:rsid w:val="005C34D9"/>
    <w:rsid w:val="005D6786"/>
    <w:rsid w:val="005F244F"/>
    <w:rsid w:val="005F4559"/>
    <w:rsid w:val="00611525"/>
    <w:rsid w:val="00625425"/>
    <w:rsid w:val="0062684C"/>
    <w:rsid w:val="00631B48"/>
    <w:rsid w:val="0063682F"/>
    <w:rsid w:val="0065267F"/>
    <w:rsid w:val="00652737"/>
    <w:rsid w:val="00660428"/>
    <w:rsid w:val="00664347"/>
    <w:rsid w:val="00677313"/>
    <w:rsid w:val="00681B24"/>
    <w:rsid w:val="006827C5"/>
    <w:rsid w:val="00683D61"/>
    <w:rsid w:val="00695BB2"/>
    <w:rsid w:val="006B0DB3"/>
    <w:rsid w:val="006F3A1C"/>
    <w:rsid w:val="007059EB"/>
    <w:rsid w:val="0071291F"/>
    <w:rsid w:val="00712FE5"/>
    <w:rsid w:val="0072570B"/>
    <w:rsid w:val="00733FC8"/>
    <w:rsid w:val="0074352C"/>
    <w:rsid w:val="00763EC4"/>
    <w:rsid w:val="007657A9"/>
    <w:rsid w:val="00783A79"/>
    <w:rsid w:val="00784913"/>
    <w:rsid w:val="0079053F"/>
    <w:rsid w:val="00790EFE"/>
    <w:rsid w:val="00793D0A"/>
    <w:rsid w:val="00796FDC"/>
    <w:rsid w:val="0079718B"/>
    <w:rsid w:val="007A2F31"/>
    <w:rsid w:val="007B241E"/>
    <w:rsid w:val="007B3573"/>
    <w:rsid w:val="007C303A"/>
    <w:rsid w:val="007D0BD4"/>
    <w:rsid w:val="007D4E63"/>
    <w:rsid w:val="007E1587"/>
    <w:rsid w:val="007E1611"/>
    <w:rsid w:val="007E1C99"/>
    <w:rsid w:val="007E294D"/>
    <w:rsid w:val="007F0D4B"/>
    <w:rsid w:val="007F784D"/>
    <w:rsid w:val="0080688C"/>
    <w:rsid w:val="0082101D"/>
    <w:rsid w:val="008450B5"/>
    <w:rsid w:val="00851906"/>
    <w:rsid w:val="0085333E"/>
    <w:rsid w:val="0085752F"/>
    <w:rsid w:val="008614B8"/>
    <w:rsid w:val="008628A4"/>
    <w:rsid w:val="00867979"/>
    <w:rsid w:val="008A7EDF"/>
    <w:rsid w:val="008C546F"/>
    <w:rsid w:val="008D5A38"/>
    <w:rsid w:val="008E246F"/>
    <w:rsid w:val="008E4C14"/>
    <w:rsid w:val="008E5F79"/>
    <w:rsid w:val="008E7C75"/>
    <w:rsid w:val="008F41A8"/>
    <w:rsid w:val="008F74A0"/>
    <w:rsid w:val="00905353"/>
    <w:rsid w:val="00921962"/>
    <w:rsid w:val="00924F69"/>
    <w:rsid w:val="009408CA"/>
    <w:rsid w:val="00943B22"/>
    <w:rsid w:val="00950649"/>
    <w:rsid w:val="00962B42"/>
    <w:rsid w:val="009653E5"/>
    <w:rsid w:val="009667E9"/>
    <w:rsid w:val="00980D0C"/>
    <w:rsid w:val="009C2963"/>
    <w:rsid w:val="009C5C1D"/>
    <w:rsid w:val="009E0F33"/>
    <w:rsid w:val="009E22DB"/>
    <w:rsid w:val="009E34AD"/>
    <w:rsid w:val="00A01091"/>
    <w:rsid w:val="00A03AF7"/>
    <w:rsid w:val="00A1157E"/>
    <w:rsid w:val="00A132CE"/>
    <w:rsid w:val="00A14878"/>
    <w:rsid w:val="00A23692"/>
    <w:rsid w:val="00A31851"/>
    <w:rsid w:val="00A32A2A"/>
    <w:rsid w:val="00A32C06"/>
    <w:rsid w:val="00A32C40"/>
    <w:rsid w:val="00A45FBA"/>
    <w:rsid w:val="00A463DC"/>
    <w:rsid w:val="00A54FD0"/>
    <w:rsid w:val="00A55668"/>
    <w:rsid w:val="00A56906"/>
    <w:rsid w:val="00A60BCA"/>
    <w:rsid w:val="00A61C9C"/>
    <w:rsid w:val="00A65CCE"/>
    <w:rsid w:val="00A66514"/>
    <w:rsid w:val="00A76687"/>
    <w:rsid w:val="00A77347"/>
    <w:rsid w:val="00A861F7"/>
    <w:rsid w:val="00A96BF8"/>
    <w:rsid w:val="00AA00FE"/>
    <w:rsid w:val="00AB623F"/>
    <w:rsid w:val="00AB7A8A"/>
    <w:rsid w:val="00AC2C7A"/>
    <w:rsid w:val="00AC436B"/>
    <w:rsid w:val="00AC639E"/>
    <w:rsid w:val="00AD4748"/>
    <w:rsid w:val="00AF1651"/>
    <w:rsid w:val="00AF340B"/>
    <w:rsid w:val="00AF4F7A"/>
    <w:rsid w:val="00AF72FC"/>
    <w:rsid w:val="00B00DDD"/>
    <w:rsid w:val="00B104C3"/>
    <w:rsid w:val="00B14C7F"/>
    <w:rsid w:val="00B21E36"/>
    <w:rsid w:val="00B51FEC"/>
    <w:rsid w:val="00B56A65"/>
    <w:rsid w:val="00B60EA9"/>
    <w:rsid w:val="00B65CE3"/>
    <w:rsid w:val="00B72FA1"/>
    <w:rsid w:val="00B756FB"/>
    <w:rsid w:val="00B80F2F"/>
    <w:rsid w:val="00B845A1"/>
    <w:rsid w:val="00B94140"/>
    <w:rsid w:val="00BA0C16"/>
    <w:rsid w:val="00BA17EB"/>
    <w:rsid w:val="00BA2A11"/>
    <w:rsid w:val="00BB19C3"/>
    <w:rsid w:val="00BB4CCE"/>
    <w:rsid w:val="00BB64C7"/>
    <w:rsid w:val="00BD1594"/>
    <w:rsid w:val="00BE19F9"/>
    <w:rsid w:val="00BF08C1"/>
    <w:rsid w:val="00BF1969"/>
    <w:rsid w:val="00BF457D"/>
    <w:rsid w:val="00C071C7"/>
    <w:rsid w:val="00C105A1"/>
    <w:rsid w:val="00C35B33"/>
    <w:rsid w:val="00C37937"/>
    <w:rsid w:val="00C4073C"/>
    <w:rsid w:val="00C509D6"/>
    <w:rsid w:val="00C52EFC"/>
    <w:rsid w:val="00C6400D"/>
    <w:rsid w:val="00C91029"/>
    <w:rsid w:val="00CA1383"/>
    <w:rsid w:val="00CA7FD5"/>
    <w:rsid w:val="00CB7908"/>
    <w:rsid w:val="00CC4AFF"/>
    <w:rsid w:val="00CC50E4"/>
    <w:rsid w:val="00CD261F"/>
    <w:rsid w:val="00CD285D"/>
    <w:rsid w:val="00CD48B0"/>
    <w:rsid w:val="00CD4E2F"/>
    <w:rsid w:val="00CE3B4F"/>
    <w:rsid w:val="00CE702C"/>
    <w:rsid w:val="00CF0604"/>
    <w:rsid w:val="00D17495"/>
    <w:rsid w:val="00D27BE1"/>
    <w:rsid w:val="00D41E45"/>
    <w:rsid w:val="00D430EA"/>
    <w:rsid w:val="00D62037"/>
    <w:rsid w:val="00D6536E"/>
    <w:rsid w:val="00D825FD"/>
    <w:rsid w:val="00D84D0A"/>
    <w:rsid w:val="00D91264"/>
    <w:rsid w:val="00D95A1B"/>
    <w:rsid w:val="00DC1D90"/>
    <w:rsid w:val="00DC4255"/>
    <w:rsid w:val="00DD11B9"/>
    <w:rsid w:val="00DD1B96"/>
    <w:rsid w:val="00DD4ED2"/>
    <w:rsid w:val="00DE39EC"/>
    <w:rsid w:val="00DE73AC"/>
    <w:rsid w:val="00DF164D"/>
    <w:rsid w:val="00E1072F"/>
    <w:rsid w:val="00E13E46"/>
    <w:rsid w:val="00E2335F"/>
    <w:rsid w:val="00E233DE"/>
    <w:rsid w:val="00E31236"/>
    <w:rsid w:val="00E357EF"/>
    <w:rsid w:val="00E4223D"/>
    <w:rsid w:val="00E423FC"/>
    <w:rsid w:val="00E51E7C"/>
    <w:rsid w:val="00E71444"/>
    <w:rsid w:val="00E8081C"/>
    <w:rsid w:val="00E97413"/>
    <w:rsid w:val="00EA0C4B"/>
    <w:rsid w:val="00EA4F65"/>
    <w:rsid w:val="00EA5228"/>
    <w:rsid w:val="00EA7DC0"/>
    <w:rsid w:val="00EB03B3"/>
    <w:rsid w:val="00EB6961"/>
    <w:rsid w:val="00EC017D"/>
    <w:rsid w:val="00EC1B0A"/>
    <w:rsid w:val="00EC2D32"/>
    <w:rsid w:val="00EC2DBC"/>
    <w:rsid w:val="00F1096F"/>
    <w:rsid w:val="00F132C7"/>
    <w:rsid w:val="00F243D6"/>
    <w:rsid w:val="00F27657"/>
    <w:rsid w:val="00F31E85"/>
    <w:rsid w:val="00F35781"/>
    <w:rsid w:val="00F412FE"/>
    <w:rsid w:val="00F42ACE"/>
    <w:rsid w:val="00F55326"/>
    <w:rsid w:val="00F65529"/>
    <w:rsid w:val="00F80ABC"/>
    <w:rsid w:val="00F825D2"/>
    <w:rsid w:val="00F840FF"/>
    <w:rsid w:val="00F85130"/>
    <w:rsid w:val="00F90F73"/>
    <w:rsid w:val="00F95E63"/>
    <w:rsid w:val="00F9625D"/>
    <w:rsid w:val="00FA0120"/>
    <w:rsid w:val="00FA417F"/>
    <w:rsid w:val="00FB207A"/>
    <w:rsid w:val="00FB25C2"/>
    <w:rsid w:val="00FB66AC"/>
    <w:rsid w:val="00FD248E"/>
    <w:rsid w:val="00FD32BD"/>
    <w:rsid w:val="00FF07CC"/>
    <w:rsid w:val="00FF338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613"/>
  <w15:docId w15:val="{BF1CBDE0-68E4-4AFB-AC1F-76017FA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skapoveznica">
    <w:name w:val="Internetska poveznica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FD4309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Theme="majorHAnsi" w:hAnsiTheme="majorHAnsi" w:cs="Helvetica"/>
      <w:lang w:val="hr-HR" w:eastAsia="hr-HR"/>
    </w:rPr>
  </w:style>
  <w:style w:type="character" w:customStyle="1" w:styleId="ListLabel21">
    <w:name w:val="ListLabel 21"/>
    <w:qFormat/>
    <w:rPr>
      <w:rFonts w:asciiTheme="majorHAnsi" w:hAnsiTheme="majorHAnsi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99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Standard">
    <w:name w:val="Standard"/>
    <w:qFormat/>
    <w:rsid w:val="0066154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2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77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EE7-ECD6-419C-8AAE-7337665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dc:description/>
  <cp:lastModifiedBy>MOBES KVALITETA </cp:lastModifiedBy>
  <cp:revision>8</cp:revision>
  <cp:lastPrinted>2015-09-11T08:37:00Z</cp:lastPrinted>
  <dcterms:created xsi:type="dcterms:W3CDTF">2022-11-03T07:19:00Z</dcterms:created>
  <dcterms:modified xsi:type="dcterms:W3CDTF">2023-02-06T12:07:00Z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